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0061F" w14:textId="52B8FD0C" w:rsidR="00A2252E" w:rsidRDefault="00A2252E" w:rsidP="00E06824">
      <w:pPr>
        <w:jc w:val="both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777E3843" wp14:editId="1EBCF969">
            <wp:extent cx="4279900" cy="878205"/>
            <wp:effectExtent l="0" t="0" r="6350" b="0"/>
            <wp:docPr id="1999382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BAED76" w14:textId="48AB7C0A" w:rsidR="00A2252E" w:rsidRPr="004A50D0" w:rsidRDefault="00A2252E" w:rsidP="00E06824">
      <w:pPr>
        <w:jc w:val="both"/>
        <w:rPr>
          <w:sz w:val="28"/>
          <w:szCs w:val="28"/>
          <w:u w:val="single"/>
          <w:lang w:val="en-GB"/>
        </w:rPr>
      </w:pPr>
      <w:r w:rsidRPr="004A50D0">
        <w:rPr>
          <w:sz w:val="28"/>
          <w:szCs w:val="28"/>
          <w:u w:val="single"/>
          <w:lang w:val="en-GB"/>
        </w:rPr>
        <w:t xml:space="preserve">Project: </w:t>
      </w:r>
      <w:r w:rsidRPr="004A50D0">
        <w:rPr>
          <w:sz w:val="28"/>
          <w:szCs w:val="28"/>
          <w:u w:val="single"/>
          <w:lang w:val="en-GB"/>
        </w:rPr>
        <w:t>Decision Support System for Global Water Balance</w:t>
      </w:r>
      <w:r w:rsidRPr="004A50D0">
        <w:rPr>
          <w:sz w:val="28"/>
          <w:szCs w:val="28"/>
          <w:u w:val="single"/>
          <w:lang w:val="en-GB"/>
        </w:rPr>
        <w:t xml:space="preserve">- </w:t>
      </w:r>
      <w:r w:rsidRPr="004A50D0">
        <w:rPr>
          <w:sz w:val="28"/>
          <w:szCs w:val="28"/>
          <w:u w:val="single"/>
          <w:lang w:val="en-GB"/>
        </w:rPr>
        <w:t xml:space="preserve">BSB00734 – </w:t>
      </w:r>
      <w:proofErr w:type="spellStart"/>
      <w:r w:rsidRPr="004A50D0">
        <w:rPr>
          <w:sz w:val="28"/>
          <w:szCs w:val="28"/>
          <w:u w:val="single"/>
          <w:lang w:val="en-GB"/>
        </w:rPr>
        <w:t>GwB</w:t>
      </w:r>
      <w:proofErr w:type="spellEnd"/>
    </w:p>
    <w:p w14:paraId="1F92FCBA" w14:textId="77777777" w:rsidR="004A50D0" w:rsidRDefault="004A50D0" w:rsidP="00E06824">
      <w:pPr>
        <w:jc w:val="both"/>
        <w:rPr>
          <w:sz w:val="28"/>
          <w:szCs w:val="28"/>
          <w:lang w:val="bg-BG"/>
        </w:rPr>
      </w:pPr>
    </w:p>
    <w:p w14:paraId="49752FCC" w14:textId="145BC4A0" w:rsidR="00A2252E" w:rsidRPr="00A2252E" w:rsidRDefault="00A2252E" w:rsidP="00E06824">
      <w:pPr>
        <w:jc w:val="both"/>
        <w:rPr>
          <w:sz w:val="28"/>
          <w:szCs w:val="28"/>
          <w:lang w:val="bg-BG"/>
        </w:rPr>
      </w:pPr>
      <w:r w:rsidRPr="00A2252E">
        <w:rPr>
          <w:sz w:val="28"/>
          <w:szCs w:val="28"/>
          <w:lang w:val="bg-BG"/>
        </w:rPr>
        <w:t xml:space="preserve">Проект: </w:t>
      </w:r>
      <w:r w:rsidR="004A50D0" w:rsidRPr="004A50D0">
        <w:rPr>
          <w:sz w:val="28"/>
          <w:szCs w:val="28"/>
          <w:lang w:val="bg-BG"/>
        </w:rPr>
        <w:t>Система за подпомагане на вземането на решения за глобален воден баланс</w:t>
      </w:r>
    </w:p>
    <w:p w14:paraId="30AD1DFF" w14:textId="544ADA15" w:rsidR="00A2252E" w:rsidRDefault="004A50D0" w:rsidP="00E0682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Партньори по проекта: Водещ партньр Университет „Намик Кемал“ Текирда, Турция, СНЦ „БУРГАСКА РЕГИОНАЛНА ТУРИСТИЧЕСКА АСОЦИАЦИЯ“, Международна Асоциация „Сивитас“ Грузия и „Камара за търговия и индустрия Ксанти“, Гърция</w:t>
      </w:r>
    </w:p>
    <w:p w14:paraId="71AD470E" w14:textId="016DD918" w:rsidR="004A50D0" w:rsidRPr="004A50D0" w:rsidRDefault="004A50D0" w:rsidP="00E0682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</w:t>
      </w:r>
      <w:r w:rsidRPr="004A50D0">
        <w:rPr>
          <w:sz w:val="28"/>
          <w:szCs w:val="28"/>
          <w:lang w:val="bg-BG"/>
        </w:rPr>
        <w:t xml:space="preserve">бщия бюджет на проекта е 948 986,41 евро, от които финансирането по програмата е 854 087,75 евро, </w:t>
      </w:r>
      <w:r>
        <w:rPr>
          <w:sz w:val="28"/>
          <w:szCs w:val="28"/>
          <w:lang w:val="bg-BG"/>
        </w:rPr>
        <w:t xml:space="preserve">публично съфинансиране </w:t>
      </w:r>
      <w:r w:rsidRPr="004A50D0">
        <w:rPr>
          <w:sz w:val="28"/>
          <w:szCs w:val="28"/>
          <w:lang w:val="bg-BG"/>
        </w:rPr>
        <w:t>77 184,38 евро</w:t>
      </w:r>
      <w:r>
        <w:rPr>
          <w:sz w:val="28"/>
          <w:szCs w:val="28"/>
          <w:lang w:val="bg-BG"/>
        </w:rPr>
        <w:t xml:space="preserve"> и </w:t>
      </w:r>
      <w:r w:rsidRPr="004A50D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съфинансиране от партньорите-</w:t>
      </w:r>
      <w:r w:rsidRPr="004A50D0">
        <w:rPr>
          <w:sz w:val="28"/>
          <w:szCs w:val="28"/>
          <w:lang w:val="bg-BG"/>
        </w:rPr>
        <w:t xml:space="preserve"> 17 714,28 евро.</w:t>
      </w:r>
    </w:p>
    <w:p w14:paraId="2456B240" w14:textId="434F31C7" w:rsidR="004A50D0" w:rsidRPr="004A50D0" w:rsidRDefault="004A50D0" w:rsidP="004A50D0">
      <w:pPr>
        <w:jc w:val="both"/>
        <w:rPr>
          <w:sz w:val="28"/>
          <w:szCs w:val="28"/>
          <w:lang w:val="bg-BG"/>
        </w:rPr>
      </w:pPr>
      <w:r w:rsidRPr="004A50D0">
        <w:rPr>
          <w:sz w:val="28"/>
          <w:szCs w:val="28"/>
          <w:lang w:val="bg-BG"/>
        </w:rPr>
        <w:t>Земеделието е основен потребител на водни ресурси, а основната причина за потреблението на вода в селското стопанство е напояването. Напояваните земи представляват 20% от обработваемата земя в световен мащаб</w:t>
      </w:r>
      <w:r>
        <w:rPr>
          <w:sz w:val="28"/>
          <w:szCs w:val="28"/>
          <w:lang w:val="bg-BG"/>
        </w:rPr>
        <w:t xml:space="preserve"> и </w:t>
      </w:r>
      <w:r w:rsidRPr="004A50D0">
        <w:rPr>
          <w:sz w:val="28"/>
          <w:szCs w:val="28"/>
          <w:lang w:val="bg-BG"/>
        </w:rPr>
        <w:t>40% от производството на храни. Земеделските дейности са отговорни за почти 70% от световното водочерпене, достигайки до 95% в някои развиващи се страни. Следователно, това действие има за цел да разработи симулационен модел с адаптивен контрол в реално време и агентно-базирани компоненти за моделиране, за да се преодолее проблемът с времевата и пространствена променливост на инфилтрацията на почвата. Това ще подпомогне повишаване на ефективността на използване на вода с 10%, което ще доведе до големи икономии на вода, ще въведе значителен потенциал за намаляване на ненужно изразходваната вода (54–76%) и значително увеличение на водната продуктивност на културите (9–15%)</w:t>
      </w:r>
      <w:r>
        <w:rPr>
          <w:sz w:val="28"/>
          <w:szCs w:val="28"/>
          <w:lang w:val="bg-BG"/>
        </w:rPr>
        <w:t>,</w:t>
      </w:r>
      <w:r w:rsidRPr="004A50D0">
        <w:rPr>
          <w:sz w:val="28"/>
          <w:szCs w:val="28"/>
          <w:lang w:val="bg-BG"/>
        </w:rPr>
        <w:t xml:space="preserve"> чрез преход от повърхностни към спринклерни или капкови системи до 2050 г.</w:t>
      </w:r>
    </w:p>
    <w:p w14:paraId="2E029ADE" w14:textId="77777777" w:rsidR="004A50D0" w:rsidRDefault="004A50D0" w:rsidP="004A50D0">
      <w:pPr>
        <w:jc w:val="both"/>
        <w:rPr>
          <w:sz w:val="28"/>
          <w:szCs w:val="28"/>
          <w:lang w:val="bg-BG"/>
        </w:rPr>
      </w:pPr>
      <w:r w:rsidRPr="004A50D0">
        <w:rPr>
          <w:sz w:val="28"/>
          <w:szCs w:val="28"/>
          <w:lang w:val="bg-BG"/>
        </w:rPr>
        <w:t xml:space="preserve">В това отношение очакваните резултати от </w:t>
      </w:r>
      <w:r>
        <w:rPr>
          <w:sz w:val="28"/>
          <w:szCs w:val="28"/>
          <w:lang w:val="bg-BG"/>
        </w:rPr>
        <w:t>проекта</w:t>
      </w:r>
      <w:r w:rsidRPr="004A50D0">
        <w:rPr>
          <w:sz w:val="28"/>
          <w:szCs w:val="28"/>
          <w:lang w:val="bg-BG"/>
        </w:rPr>
        <w:t xml:space="preserve"> ще бъдат: </w:t>
      </w:r>
    </w:p>
    <w:p w14:paraId="4CB3F9A8" w14:textId="2F7D8670" w:rsidR="00EA33FE" w:rsidRPr="00EA33FE" w:rsidRDefault="004A50D0" w:rsidP="00EA33FE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bg-BG"/>
        </w:rPr>
      </w:pPr>
      <w:r w:rsidRPr="00EA33FE">
        <w:rPr>
          <w:sz w:val="28"/>
          <w:szCs w:val="28"/>
          <w:lang w:val="bg-BG"/>
        </w:rPr>
        <w:t>Нова система за подпомагане на вземането на решения за глобалния воден баланс (</w:t>
      </w:r>
      <w:proofErr w:type="spellStart"/>
      <w:r w:rsidRPr="00EA33FE">
        <w:rPr>
          <w:sz w:val="28"/>
          <w:szCs w:val="28"/>
          <w:lang w:val="en-GB"/>
        </w:rPr>
        <w:t>Dss</w:t>
      </w:r>
      <w:proofErr w:type="spellEnd"/>
      <w:r w:rsidRPr="00EA33FE">
        <w:rPr>
          <w:sz w:val="28"/>
          <w:szCs w:val="28"/>
          <w:lang w:val="bg-BG"/>
        </w:rPr>
        <w:t>-</w:t>
      </w:r>
      <w:proofErr w:type="spellStart"/>
      <w:r w:rsidRPr="00EA33FE">
        <w:rPr>
          <w:sz w:val="28"/>
          <w:szCs w:val="28"/>
          <w:lang w:val="en-GB"/>
        </w:rPr>
        <w:t>GwB</w:t>
      </w:r>
      <w:proofErr w:type="spellEnd"/>
      <w:r w:rsidRPr="00EA33FE">
        <w:rPr>
          <w:sz w:val="28"/>
          <w:szCs w:val="28"/>
          <w:lang w:val="bg-BG"/>
        </w:rPr>
        <w:t xml:space="preserve">), съставена от два компонента, които ще служат като свързан модел за разширяване на обхвата ѝ чрез отчитане </w:t>
      </w:r>
      <w:r w:rsidRPr="00EA33FE">
        <w:rPr>
          <w:sz w:val="28"/>
          <w:szCs w:val="28"/>
          <w:lang w:val="bg-BG"/>
        </w:rPr>
        <w:lastRenderedPageBreak/>
        <w:t xml:space="preserve">на повече фактори, свързани с напояването или добавяне на различни култури за оптимизиране на стратегиите за разпределение на водата и добивите от култури, за да се симулира вземането на решения от земеделските производители. </w:t>
      </w:r>
    </w:p>
    <w:p w14:paraId="1DB2BBF4" w14:textId="2F6BA133" w:rsidR="004A50D0" w:rsidRPr="00EA33FE" w:rsidRDefault="004A50D0" w:rsidP="00EA33FE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bg-BG"/>
        </w:rPr>
      </w:pPr>
      <w:r w:rsidRPr="00EA33FE">
        <w:rPr>
          <w:sz w:val="28"/>
          <w:szCs w:val="28"/>
          <w:lang w:val="bg-BG"/>
        </w:rPr>
        <w:t>Изграден капацитет сред (а) земеделските производители за подобряване на разбирането и оценката им за управлението на напояването като основен фактор, влияещ върху добивите на културите и потреблението на вода, чрез осигуряване на независимост на развитието на културите от валежите и чрез повишаване на ефективността на потреблението на вода (</w:t>
      </w:r>
      <w:r w:rsidRPr="00EA33FE">
        <w:rPr>
          <w:sz w:val="28"/>
          <w:szCs w:val="28"/>
          <w:lang w:val="en-GB"/>
        </w:rPr>
        <w:t>WUE</w:t>
      </w:r>
      <w:r w:rsidRPr="00EA33FE">
        <w:rPr>
          <w:sz w:val="28"/>
          <w:szCs w:val="28"/>
          <w:lang w:val="bg-BG"/>
        </w:rPr>
        <w:t>) за намаляване на количеството вода, използвана за постигане на очакваните добиви, чрез Програма за обучение по агентно-базирано моделиране (</w:t>
      </w:r>
      <w:r w:rsidRPr="00EA33FE">
        <w:rPr>
          <w:sz w:val="28"/>
          <w:szCs w:val="28"/>
          <w:lang w:val="en-GB"/>
        </w:rPr>
        <w:t>ABMEP</w:t>
      </w:r>
      <w:r w:rsidRPr="00EA33FE">
        <w:rPr>
          <w:sz w:val="28"/>
          <w:szCs w:val="28"/>
          <w:lang w:val="bg-BG"/>
        </w:rPr>
        <w:t>); (б) старши специалисти за развиване на капацитета им, за да включат добри организации и силни институционални структури, в които хората могат да работят ефективно, и благоприятна среда, която насърчава успешното развитие на напояването, чрез прилагане на формални курсове за обучение (</w:t>
      </w:r>
      <w:r w:rsidRPr="00EA33FE">
        <w:rPr>
          <w:sz w:val="28"/>
          <w:szCs w:val="28"/>
          <w:lang w:val="en-GB"/>
        </w:rPr>
        <w:t>FTC</w:t>
      </w:r>
      <w:r w:rsidRPr="00EA33FE">
        <w:rPr>
          <w:sz w:val="28"/>
          <w:szCs w:val="28"/>
          <w:lang w:val="bg-BG"/>
        </w:rPr>
        <w:t>).</w:t>
      </w:r>
    </w:p>
    <w:p w14:paraId="4A636D43" w14:textId="1D27A118" w:rsidR="00E06824" w:rsidRPr="004A50D0" w:rsidRDefault="004A50D0" w:rsidP="004A50D0">
      <w:pPr>
        <w:jc w:val="both"/>
        <w:rPr>
          <w:lang w:val="bg-BG"/>
        </w:rPr>
      </w:pPr>
      <w:r>
        <w:rPr>
          <w:sz w:val="28"/>
          <w:szCs w:val="28"/>
          <w:lang w:val="bg-BG"/>
        </w:rPr>
        <w:t xml:space="preserve"> </w:t>
      </w:r>
    </w:p>
    <w:sectPr w:rsidR="00E06824" w:rsidRPr="004A5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9A46F7"/>
    <w:multiLevelType w:val="hybridMultilevel"/>
    <w:tmpl w:val="07B273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21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824"/>
    <w:rsid w:val="002418F2"/>
    <w:rsid w:val="002775BC"/>
    <w:rsid w:val="004A50D0"/>
    <w:rsid w:val="006621B4"/>
    <w:rsid w:val="00A2252E"/>
    <w:rsid w:val="00A34E6D"/>
    <w:rsid w:val="00B97B02"/>
    <w:rsid w:val="00CC210B"/>
    <w:rsid w:val="00E06824"/>
    <w:rsid w:val="00EA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F9CEC"/>
  <w15:chartTrackingRefBased/>
  <w15:docId w15:val="{E44CC752-19E7-4F77-8F02-F4D71B2D7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68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6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68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68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68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68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68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68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68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68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68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68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68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68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68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68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68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68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68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6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68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6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68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68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68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68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68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68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68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Sırrı ÖREN</dc:creator>
  <cp:keywords/>
  <dc:description/>
  <cp:lastModifiedBy>Fani Semerdzhieva</cp:lastModifiedBy>
  <cp:revision>3</cp:revision>
  <dcterms:created xsi:type="dcterms:W3CDTF">2026-07-16T13:49:00Z</dcterms:created>
  <dcterms:modified xsi:type="dcterms:W3CDTF">2026-07-16T14:09:00Z</dcterms:modified>
</cp:coreProperties>
</file>